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rebuchet MS" w:hAnsi="Trebuchet MS"/>
          <w:b/>
          <w:bCs/>
          <w:sz w:val="32"/>
          <w:szCs w:val="32"/>
        </w:rPr>
      </w:pPr>
      <w:r>
        <w:rPr>
          <w:rFonts w:ascii="Trebuchet MS" w:hAnsi="Trebuchet MS"/>
          <w:b/>
          <w:bCs/>
          <w:sz w:val="32"/>
          <w:szCs w:val="32"/>
        </w:rPr>
        <w:t>A. Bestyrelsen stiller forslag om ændring af vedtægtens § 7</w:t>
      </w:r>
    </w:p>
    <w:p>
      <w:pPr>
        <w:pStyle w:val="Normal"/>
        <w:rPr>
          <w:rFonts w:ascii="Trebuchet MS" w:hAnsi="Trebuchet MS"/>
          <w:sz w:val="24"/>
          <w:szCs w:val="24"/>
        </w:rPr>
      </w:pPr>
      <w:r>
        <w:rPr>
          <w:rFonts w:ascii="Trebuchet MS" w:hAnsi="Trebuchet MS"/>
          <w:sz w:val="24"/>
          <w:szCs w:val="24"/>
        </w:rPr>
        <w:t xml:space="preserve">Da andelsbeviser ikke længere har nogen praktisk betydning foreslås det at slette vedtægtens § 7 stk.3 </w:t>
      </w:r>
    </w:p>
    <w:p>
      <w:pPr>
        <w:pStyle w:val="Normal"/>
        <w:rPr>
          <w:rFonts w:ascii="Trebuchet MS" w:hAnsi="Trebuchet MS"/>
          <w:sz w:val="24"/>
          <w:szCs w:val="24"/>
        </w:rPr>
      </w:pPr>
      <w:r>
        <w:rPr>
          <w:rFonts w:ascii="Trebuchet MS" w:hAnsi="Trebuchet MS"/>
          <w:sz w:val="24"/>
          <w:szCs w:val="24"/>
        </w:rPr>
      </w:r>
    </w:p>
    <w:p>
      <w:pPr>
        <w:pStyle w:val="Normal"/>
        <w:rPr>
          <w:rFonts w:ascii="Trebuchet MS" w:hAnsi="Trebuchet MS"/>
          <w:sz w:val="24"/>
          <w:szCs w:val="24"/>
        </w:rPr>
      </w:pPr>
      <w:r>
        <w:rPr>
          <w:rFonts w:ascii="Trebuchet MS" w:hAnsi="Trebuchet MS"/>
          <w:sz w:val="24"/>
          <w:szCs w:val="24"/>
        </w:rPr>
        <w:t>Andelsbeviset er ikke længere et dokument der benyttes, hverken banker eller forvaltninger tillægger den nogen gyldighed. Ved køb af andelsbolig modtager man i dag en overdragelsesaftale, som er underskrevet af alle parter, og denne aftale tjener bedre som dokumentation for andelens ejerskab. Det er derfor vores anbefaling, at man ikke bruger midler på udfærdigelse af specialfremstillede andelsbeviser.</w:t>
      </w:r>
    </w:p>
    <w:p>
      <w:pPr>
        <w:pStyle w:val="Normal"/>
        <w:rPr>
          <w:rFonts w:ascii="Trebuchet MS" w:hAnsi="Trebuchet MS"/>
          <w:sz w:val="24"/>
          <w:szCs w:val="24"/>
        </w:rPr>
      </w:pPr>
      <w:r>
        <w:rPr>
          <w:rFonts w:ascii="Trebuchet MS" w:hAnsi="Trebuchet MS"/>
          <w:sz w:val="24"/>
          <w:szCs w:val="24"/>
        </w:rPr>
      </w:r>
    </w:p>
    <w:p>
      <w:pPr>
        <w:pStyle w:val="Normal"/>
        <w:rPr>
          <w:rFonts w:ascii="Trebuchet MS" w:hAnsi="Trebuchet MS"/>
          <w:sz w:val="24"/>
          <w:szCs w:val="24"/>
        </w:rPr>
      </w:pPr>
      <w:r>
        <w:rPr>
          <w:rFonts w:ascii="Trebuchet MS" w:hAnsi="Trebuchet MS"/>
          <w:sz w:val="24"/>
          <w:szCs w:val="24"/>
        </w:rPr>
        <w:t>Paragraffen der slettes er gengivet nedenfor.</w:t>
      </w:r>
    </w:p>
    <w:p>
      <w:pPr>
        <w:pStyle w:val="Normal"/>
        <w:rPr>
          <w:rFonts w:ascii="Trebuchet MS" w:hAnsi="Trebuchet MS"/>
          <w:sz w:val="24"/>
          <w:szCs w:val="24"/>
        </w:rPr>
      </w:pPr>
      <w:r>
        <w:rPr>
          <w:rFonts w:ascii="Trebuchet MS" w:hAnsi="Trebuchet MS"/>
          <w:sz w:val="24"/>
          <w:szCs w:val="24"/>
        </w:rPr>
      </w:r>
    </w:p>
    <w:p>
      <w:pPr>
        <w:pStyle w:val="Normal"/>
        <w:rPr>
          <w:rFonts w:ascii="Trebuchet MS" w:hAnsi="Trebuchet MS" w:cs="Garamond"/>
          <w:sz w:val="24"/>
          <w:szCs w:val="24"/>
        </w:rPr>
      </w:pPr>
      <w:r>
        <w:rPr>
          <w:rFonts w:ascii="Trebuchet MS" w:hAnsi="Trebuchet MS"/>
          <w:sz w:val="24"/>
          <w:szCs w:val="24"/>
        </w:rPr>
        <w:t xml:space="preserve">§ 7 </w:t>
      </w:r>
      <w:r>
        <w:rPr>
          <w:rFonts w:cs="Garamond" w:ascii="Trebuchet MS" w:hAnsi="Trebuchet MS"/>
          <w:sz w:val="24"/>
          <w:szCs w:val="24"/>
        </w:rPr>
        <w:t xml:space="preserve">stk. 3. </w:t>
      </w:r>
    </w:p>
    <w:p>
      <w:pPr>
        <w:pStyle w:val="Normal"/>
        <w:rPr>
          <w:rFonts w:ascii="Trebuchet MS" w:hAnsi="Trebuchet MS" w:cs="Garamond"/>
          <w:sz w:val="24"/>
          <w:szCs w:val="24"/>
        </w:rPr>
      </w:pPr>
      <w:r>
        <w:rPr>
          <w:rFonts w:cs="Garamond" w:ascii="Trebuchet MS" w:hAnsi="Trebuchet MS"/>
          <w:sz w:val="24"/>
          <w:szCs w:val="24"/>
        </w:rPr>
        <w:t>For andelen udstedes andelsbevis, der lyder på navn. Bortkommer andelsbeviset, kan</w:t>
      </w:r>
    </w:p>
    <w:p>
      <w:pPr>
        <w:pStyle w:val="Normal"/>
        <w:rPr>
          <w:rFonts w:ascii="Trebuchet MS" w:hAnsi="Trebuchet MS" w:cs="Garamond"/>
          <w:sz w:val="24"/>
          <w:szCs w:val="24"/>
        </w:rPr>
      </w:pPr>
      <w:r>
        <w:rPr>
          <w:rFonts w:cs="Garamond" w:ascii="Trebuchet MS" w:hAnsi="Trebuchet MS"/>
          <w:sz w:val="24"/>
          <w:szCs w:val="24"/>
        </w:rPr>
        <w:t>bestyrelsen mod gebyr udstede et nyt, der skal angive, at det træder i stedet for et</w:t>
      </w:r>
    </w:p>
    <w:p>
      <w:pPr>
        <w:pStyle w:val="Normal"/>
        <w:rPr>
          <w:rFonts w:ascii="Trebuchet MS" w:hAnsi="Trebuchet MS" w:cs="Garamond"/>
          <w:sz w:val="24"/>
          <w:szCs w:val="24"/>
        </w:rPr>
      </w:pPr>
      <w:r>
        <w:rPr>
          <w:rFonts w:cs="Garamond" w:ascii="Trebuchet MS" w:hAnsi="Trebuchet MS"/>
          <w:sz w:val="24"/>
          <w:szCs w:val="24"/>
        </w:rPr>
        <w:t>bortkommet andelsbevis.</w:t>
      </w:r>
    </w:p>
    <w:p>
      <w:pPr>
        <w:pStyle w:val="Normal"/>
        <w:rPr>
          <w:rFonts w:ascii="Trebuchet MS" w:hAnsi="Trebuchet MS" w:cs="Garamond"/>
          <w:sz w:val="24"/>
          <w:szCs w:val="24"/>
        </w:rPr>
      </w:pPr>
      <w:r>
        <w:rPr>
          <w:rFonts w:cs="Garamond" w:ascii="Trebuchet MS" w:hAnsi="Trebuchet MS"/>
          <w:sz w:val="24"/>
          <w:szCs w:val="24"/>
        </w:rPr>
      </w:r>
    </w:p>
    <w:p>
      <w:pPr>
        <w:pStyle w:val="Normal"/>
        <w:rPr>
          <w:rFonts w:ascii="Trebuchet MS" w:hAnsi="Trebuchet MS" w:cs="Garamond"/>
          <w:sz w:val="24"/>
          <w:szCs w:val="24"/>
        </w:rPr>
      </w:pPr>
      <w:r>
        <w:rPr>
          <w:rFonts w:cs="Garamond" w:ascii="Trebuchet MS" w:hAnsi="Trebuchet MS"/>
          <w:sz w:val="24"/>
          <w:szCs w:val="24"/>
        </w:rPr>
        <w:t>Forslaget blev vedtaget med kvalificeret flertal på den ordinære generalforsamling i 2025, og kan derfor uanset antal fremmødte, vedtages endeligt med kvali</w:t>
      </w:r>
      <w:r>
        <w:rPr>
          <w:rFonts w:cs="Garamond" w:ascii="Trebuchet MS" w:hAnsi="Trebuchet MS"/>
          <w:sz w:val="24"/>
          <w:szCs w:val="24"/>
        </w:rPr>
        <w:t>fi</w:t>
      </w:r>
      <w:r>
        <w:rPr>
          <w:rFonts w:cs="Garamond" w:ascii="Trebuchet MS" w:hAnsi="Trebuchet MS"/>
          <w:sz w:val="24"/>
          <w:szCs w:val="24"/>
        </w:rPr>
        <w:t xml:space="preserve">ceret flertal. </w:t>
      </w:r>
    </w:p>
    <w:p>
      <w:pPr>
        <w:pStyle w:val="Normal"/>
        <w:rPr>
          <w:rFonts w:ascii="Trebuchet MS" w:hAnsi="Trebuchet MS" w:cs="Garamond"/>
          <w:sz w:val="24"/>
          <w:szCs w:val="24"/>
        </w:rPr>
      </w:pPr>
      <w:r>
        <w:rPr>
          <w:rFonts w:cs="Garamond" w:ascii="Trebuchet MS" w:hAnsi="Trebuchet MS"/>
          <w:sz w:val="24"/>
          <w:szCs w:val="24"/>
        </w:rPr>
      </w:r>
    </w:p>
    <w:p>
      <w:pPr>
        <w:pStyle w:val="Normal"/>
        <w:rPr>
          <w:rFonts w:ascii="Trebuchet MS" w:hAnsi="Trebuchet MS"/>
          <w:b/>
          <w:bCs/>
          <w:sz w:val="32"/>
          <w:szCs w:val="32"/>
        </w:rPr>
      </w:pPr>
      <w:r>
        <w:rPr>
          <w:rFonts w:ascii="Trebuchet MS" w:hAnsi="Trebuchet MS"/>
          <w:b/>
          <w:bCs/>
          <w:sz w:val="32"/>
          <w:szCs w:val="32"/>
        </w:rPr>
        <w:t>B. Bestyrelsen stiller forslag om tilføjelse til vedtægtens § 25</w:t>
      </w:r>
    </w:p>
    <w:p>
      <w:pPr>
        <w:pStyle w:val="Normal"/>
        <w:rPr>
          <w:rFonts w:ascii="Trebuchet MS" w:hAnsi="Trebuchet MS"/>
          <w:b/>
          <w:bCs/>
          <w:color w:val="000000"/>
          <w:sz w:val="24"/>
          <w:szCs w:val="24"/>
        </w:rPr>
      </w:pPr>
      <w:r>
        <w:rPr>
          <w:rFonts w:ascii="Trebuchet MS" w:hAnsi="Trebuchet MS"/>
          <w:b/>
          <w:bCs/>
          <w:color w:val="000000"/>
          <w:sz w:val="24"/>
          <w:szCs w:val="24"/>
        </w:rPr>
        <w:t xml:space="preserve">Der tilføjes "jf. § 33". Det er blot en præcisering og læsevejledning, hvor der indsættes henvisning til § 33, som definere kommunikation. </w:t>
      </w:r>
    </w:p>
    <w:p>
      <w:pPr>
        <w:pStyle w:val="Normal"/>
        <w:jc w:val="center"/>
        <w:rPr>
          <w:rFonts w:ascii="Trebuchet MS" w:hAnsi="Trebuchet MS"/>
          <w:color w:val="000000"/>
          <w:sz w:val="24"/>
          <w:szCs w:val="24"/>
        </w:rPr>
      </w:pPr>
      <w:r>
        <w:rPr>
          <w:rFonts w:ascii="Trebuchet MS" w:hAnsi="Trebuchet MS"/>
          <w:color w:val="000000"/>
          <w:sz w:val="24"/>
          <w:szCs w:val="24"/>
        </w:rPr>
      </w:r>
    </w:p>
    <w:p>
      <w:pPr>
        <w:pStyle w:val="Normal"/>
        <w:rPr>
          <w:rFonts w:ascii="Trebuchet MS" w:hAnsi="Trebuchet MS"/>
          <w:b/>
          <w:bCs/>
          <w:sz w:val="24"/>
          <w:szCs w:val="24"/>
        </w:rPr>
      </w:pPr>
      <w:r>
        <w:rPr>
          <w:rFonts w:ascii="Trebuchet MS" w:hAnsi="Trebuchet MS"/>
          <w:b/>
          <w:bCs/>
          <w:sz w:val="24"/>
          <w:szCs w:val="24"/>
        </w:rPr>
        <w:t xml:space="preserve">Forslag </w:t>
      </w:r>
    </w:p>
    <w:p>
      <w:pPr>
        <w:pStyle w:val="Normal"/>
        <w:rPr>
          <w:rFonts w:ascii="Trebuchet MS" w:hAnsi="Trebuchet MS"/>
          <w:bCs/>
          <w:sz w:val="24"/>
          <w:szCs w:val="24"/>
        </w:rPr>
      </w:pPr>
      <w:r>
        <w:rPr>
          <w:rFonts w:ascii="Trebuchet MS" w:hAnsi="Trebuchet MS"/>
          <w:bCs/>
          <w:sz w:val="24"/>
          <w:szCs w:val="24"/>
        </w:rPr>
        <w:t>ændring af vedtægtens § 25 stk.1</w:t>
      </w:r>
    </w:p>
    <w:p>
      <w:pPr>
        <w:pStyle w:val="Normal"/>
        <w:rPr>
          <w:rFonts w:ascii="Trebuchet MS" w:hAnsi="Trebuchet MS"/>
          <w:b/>
          <w:bCs/>
          <w:sz w:val="20"/>
          <w:szCs w:val="20"/>
        </w:rPr>
      </w:pPr>
      <w:r>
        <w:rPr>
          <w:rFonts w:ascii="Trebuchet MS" w:hAnsi="Trebuchet MS"/>
          <w:b/>
          <w:bCs/>
          <w:sz w:val="20"/>
          <w:szCs w:val="20"/>
        </w:rPr>
      </w:r>
    </w:p>
    <w:p>
      <w:pPr>
        <w:pStyle w:val="Normal"/>
        <w:rPr>
          <w:rFonts w:ascii="Trebuchet MS" w:hAnsi="Trebuchet MS"/>
          <w:b/>
          <w:bCs/>
          <w:sz w:val="24"/>
          <w:szCs w:val="24"/>
        </w:rPr>
      </w:pPr>
      <w:r>
        <w:rPr>
          <w:rFonts w:ascii="Trebuchet MS" w:hAnsi="Trebuchet MS"/>
          <w:b/>
          <w:bCs/>
          <w:sz w:val="24"/>
          <w:szCs w:val="24"/>
        </w:rPr>
        <w:t>Nuværende § 25 stk. 1.</w:t>
      </w:r>
    </w:p>
    <w:p>
      <w:pPr>
        <w:pStyle w:val="Normal"/>
        <w:tabs>
          <w:tab w:val="clear" w:pos="1304"/>
          <w:tab w:val="left" w:pos="0" w:leader="none"/>
          <w:tab w:val="left" w:pos="851" w:leader="none"/>
          <w:tab w:val="left" w:pos="1701" w:leader="none"/>
          <w:tab w:val="left" w:pos="2552" w:leader="none"/>
          <w:tab w:val="left" w:pos="3403" w:leader="none"/>
          <w:tab w:val="left" w:pos="4254" w:leader="none"/>
          <w:tab w:val="left" w:pos="5105" w:leader="none"/>
          <w:tab w:val="left" w:pos="5955" w:leader="none"/>
          <w:tab w:val="left" w:pos="6806" w:leader="none"/>
          <w:tab w:val="left" w:pos="7657" w:leader="none"/>
          <w:tab w:val="left" w:pos="8508" w:leader="none"/>
        </w:tabs>
        <w:rPr>
          <w:rFonts w:ascii="Trebuchet MS" w:hAnsi="Trebuchet MS"/>
          <w:sz w:val="24"/>
          <w:szCs w:val="24"/>
        </w:rPr>
      </w:pPr>
      <w:r>
        <w:rPr>
          <w:rFonts w:ascii="Trebuchet MS" w:hAnsi="Trebuchet MS"/>
          <w:sz w:val="24"/>
          <w:szCs w:val="24"/>
          <w:u w:val="single"/>
        </w:rPr>
        <w:t>§ 25.</w:t>
      </w:r>
      <w:r>
        <w:rPr>
          <w:rFonts w:ascii="Trebuchet MS" w:hAnsi="Trebuchet MS"/>
          <w:sz w:val="24"/>
          <w:szCs w:val="24"/>
        </w:rPr>
        <w:t xml:space="preserve"> Generalforsamlingen indkaldes skriftligt med 3 ugers varsel, der dog ved ekstraordinær generalforsamling om nødvendigt kan forkortes til 8 dage. Indkaldelsen skal indeholde dagsorden for generalforsamlingen. Såfremt andelshaveren har tilmeldt sig hos foreningen, kan indkaldelse med bilag med samme varsel sendes digitalt til andelshaveren.</w:t>
      </w:r>
    </w:p>
    <w:p>
      <w:pPr>
        <w:pStyle w:val="Normal"/>
        <w:rPr>
          <w:rFonts w:ascii="Trebuchet MS" w:hAnsi="Trebuchet MS"/>
          <w:i/>
          <w:i/>
          <w:iCs/>
          <w:sz w:val="24"/>
          <w:szCs w:val="24"/>
        </w:rPr>
      </w:pPr>
      <w:r>
        <w:rPr>
          <w:rFonts w:ascii="Trebuchet MS" w:hAnsi="Trebuchet MS"/>
          <w:i/>
          <w:iCs/>
          <w:sz w:val="24"/>
          <w:szCs w:val="24"/>
        </w:rPr>
      </w:r>
    </w:p>
    <w:p>
      <w:pPr>
        <w:pStyle w:val="Normal"/>
        <w:rPr>
          <w:rFonts w:ascii="Trebuchet MS" w:hAnsi="Trebuchet MS"/>
          <w:b/>
          <w:bCs/>
          <w:sz w:val="24"/>
          <w:szCs w:val="24"/>
        </w:rPr>
      </w:pPr>
      <w:r>
        <w:rPr>
          <w:rFonts w:ascii="Trebuchet MS" w:hAnsi="Trebuchet MS"/>
          <w:b/>
          <w:bCs/>
          <w:sz w:val="24"/>
          <w:szCs w:val="24"/>
        </w:rPr>
        <w:t>Ny</w:t>
      </w:r>
      <w:r>
        <w:rPr>
          <w:rFonts w:ascii="Trebuchet MS" w:hAnsi="Trebuchet MS"/>
          <w:sz w:val="24"/>
          <w:szCs w:val="24"/>
        </w:rPr>
        <w:t xml:space="preserve"> </w:t>
      </w:r>
      <w:r>
        <w:rPr>
          <w:rFonts w:ascii="Trebuchet MS" w:hAnsi="Trebuchet MS"/>
          <w:b/>
          <w:bCs/>
          <w:sz w:val="24"/>
          <w:szCs w:val="24"/>
        </w:rPr>
        <w:t xml:space="preserve">§ 25 stk. 1. </w:t>
      </w:r>
    </w:p>
    <w:p>
      <w:pPr>
        <w:pStyle w:val="Normal"/>
        <w:tabs>
          <w:tab w:val="clear" w:pos="1304"/>
          <w:tab w:val="left" w:pos="0" w:leader="none"/>
          <w:tab w:val="left" w:pos="851" w:leader="none"/>
          <w:tab w:val="left" w:pos="1701" w:leader="none"/>
          <w:tab w:val="left" w:pos="2552" w:leader="none"/>
          <w:tab w:val="left" w:pos="3403" w:leader="none"/>
          <w:tab w:val="left" w:pos="4254" w:leader="none"/>
          <w:tab w:val="left" w:pos="5105" w:leader="none"/>
          <w:tab w:val="left" w:pos="5955" w:leader="none"/>
          <w:tab w:val="left" w:pos="6806" w:leader="none"/>
          <w:tab w:val="left" w:pos="7657" w:leader="none"/>
          <w:tab w:val="left" w:pos="8508" w:leader="none"/>
        </w:tabs>
        <w:rPr>
          <w:rFonts w:ascii="Trebuchet MS" w:hAnsi="Trebuchet MS"/>
          <w:sz w:val="24"/>
          <w:szCs w:val="24"/>
        </w:rPr>
      </w:pPr>
      <w:r>
        <w:rPr>
          <w:rFonts w:ascii="Trebuchet MS" w:hAnsi="Trebuchet MS"/>
          <w:sz w:val="24"/>
          <w:szCs w:val="24"/>
          <w:u w:val="single"/>
        </w:rPr>
        <w:t>§ 25.</w:t>
      </w:r>
      <w:r>
        <w:rPr>
          <w:rFonts w:ascii="Trebuchet MS" w:hAnsi="Trebuchet MS"/>
          <w:sz w:val="24"/>
          <w:szCs w:val="24"/>
        </w:rPr>
        <w:t xml:space="preserve"> Generalforsamlingen indkaldes skriftligt </w:t>
      </w:r>
      <w:r>
        <w:rPr>
          <w:rFonts w:ascii="Trebuchet MS" w:hAnsi="Trebuchet MS"/>
          <w:sz w:val="24"/>
          <w:szCs w:val="24"/>
          <w:highlight w:val="yellow"/>
        </w:rPr>
        <w:t>jf. § 33,</w:t>
      </w:r>
      <w:r>
        <w:rPr>
          <w:rFonts w:ascii="Trebuchet MS" w:hAnsi="Trebuchet MS"/>
          <w:sz w:val="24"/>
          <w:szCs w:val="24"/>
        </w:rPr>
        <w:t xml:space="preserve"> med 3 ugers varsel, der dog ved ekstraordinær generalforsamling om nødvendigt kan forkortes til 8 dage. Indkaldelsen skal indeholde dagsorden for generalforsamlingen. Såfremt andelshaveren har tilmeldt sig hos foreningen, kan indkaldelse med bilag med samme varsel sendes digitalt til andelshaveren.</w:t>
      </w:r>
    </w:p>
    <w:p>
      <w:pPr>
        <w:pStyle w:val="Normal"/>
        <w:rPr>
          <w:rFonts w:ascii="Trebuchet MS" w:hAnsi="Trebuchet MS"/>
          <w:sz w:val="24"/>
          <w:szCs w:val="24"/>
        </w:rPr>
      </w:pPr>
      <w:r>
        <w:rPr>
          <w:rFonts w:ascii="Trebuchet MS" w:hAnsi="Trebuchet MS"/>
          <w:sz w:val="24"/>
          <w:szCs w:val="24"/>
        </w:rPr>
      </w:r>
    </w:p>
    <w:p>
      <w:pPr>
        <w:pStyle w:val="Normal"/>
        <w:rPr>
          <w:rFonts w:ascii="Trebuchet MS" w:hAnsi="Trebuchet MS"/>
          <w:sz w:val="24"/>
          <w:szCs w:val="24"/>
        </w:rPr>
      </w:pPr>
      <w:r>
        <w:rPr>
          <w:rFonts w:cs="Garamond" w:ascii="Trebuchet MS" w:hAnsi="Trebuchet MS"/>
          <w:sz w:val="24"/>
          <w:szCs w:val="24"/>
        </w:rPr>
        <w:t>Forslaget blev vedtaget med kvalificeret flertal på den ordinære generalforsamling i 2025, og kan derfor uanset antal fremmødte, vedtages endeligt med kvali</w:t>
      </w:r>
      <w:r>
        <w:rPr>
          <w:rFonts w:cs="Garamond" w:ascii="Trebuchet MS" w:hAnsi="Trebuchet MS"/>
          <w:sz w:val="24"/>
          <w:szCs w:val="24"/>
        </w:rPr>
        <w:t>fi</w:t>
      </w:r>
      <w:r>
        <w:rPr>
          <w:rFonts w:cs="Garamond" w:ascii="Trebuchet MS" w:hAnsi="Trebuchet MS"/>
          <w:sz w:val="24"/>
          <w:szCs w:val="24"/>
        </w:rPr>
        <w:t>ceret flertal.</w:t>
      </w:r>
    </w:p>
    <w:sectPr>
      <w:headerReference w:type="even" r:id="rId2"/>
      <w:headerReference w:type="default" r:id="rId3"/>
      <w:headerReference w:type="first" r:id="rId4"/>
      <w:type w:val="nextPage"/>
      <w:pgSz w:w="11906" w:h="16838"/>
      <w:pgMar w:left="1134" w:right="1134" w:gutter="0" w:header="708" w:top="1701" w:footer="0"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rebuchet M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3">
          <wp:simplePos x="0" y="0"/>
          <wp:positionH relativeFrom="page">
            <wp:align>right</wp:align>
          </wp:positionH>
          <wp:positionV relativeFrom="paragraph">
            <wp:posOffset>-438785</wp:posOffset>
          </wp:positionV>
          <wp:extent cx="1200150" cy="1236345"/>
          <wp:effectExtent l="0" t="0" r="0" b="0"/>
          <wp:wrapTopAndBottom/>
          <wp:docPr id="1" name="Billede 2" descr="SW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SWE_Logo.jpg"/>
                  <pic:cNvPicPr>
                    <a:picLocks noChangeAspect="1" noChangeArrowheads="1"/>
                  </pic:cNvPicPr>
                </pic:nvPicPr>
                <pic:blipFill>
                  <a:blip r:embed="rId1"/>
                  <a:stretch>
                    <a:fillRect/>
                  </a:stretch>
                </pic:blipFill>
                <pic:spPr bwMode="auto">
                  <a:xfrm>
                    <a:off x="0" y="0"/>
                    <a:ext cx="1200150" cy="123634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3">
          <wp:simplePos x="0" y="0"/>
          <wp:positionH relativeFrom="page">
            <wp:align>right</wp:align>
          </wp:positionH>
          <wp:positionV relativeFrom="paragraph">
            <wp:posOffset>-438785</wp:posOffset>
          </wp:positionV>
          <wp:extent cx="1200150" cy="1236345"/>
          <wp:effectExtent l="0" t="0" r="0" b="0"/>
          <wp:wrapTopAndBottom/>
          <wp:docPr id="2" name="Billede 2" descr="SW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SWE_Logo.jpg"/>
                  <pic:cNvPicPr>
                    <a:picLocks noChangeAspect="1" noChangeArrowheads="1"/>
                  </pic:cNvPicPr>
                </pic:nvPicPr>
                <pic:blipFill>
                  <a:blip r:embed="rId1"/>
                  <a:stretch>
                    <a:fillRect/>
                  </a:stretch>
                </pic:blipFill>
                <pic:spPr bwMode="auto">
                  <a:xfrm>
                    <a:off x="0" y="0"/>
                    <a:ext cx="1200150" cy="1236345"/>
                  </a:xfrm>
                  <a:prstGeom prst="rect">
                    <a:avLst/>
                  </a:prstGeom>
                </pic:spPr>
              </pic:pic>
            </a:graphicData>
          </a:graphic>
        </wp:anchor>
      </w:drawing>
    </w:r>
  </w:p>
</w:hdr>
</file>

<file path=word/settings.xml><?xml version="1.0" encoding="utf-8"?>
<w:settings xmlns:w="http://schemas.openxmlformats.org/wordprocessingml/2006/main">
  <w:zoom w:percent="16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396a"/>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val="da-DK" w:eastAsia="en-US" w:bidi="ar-SA"/>
    </w:rPr>
  </w:style>
  <w:style w:type="character" w:styleId="DefaultParagraphFont" w:default="1">
    <w:name w:val="Default Paragraph Font"/>
    <w:uiPriority w:val="1"/>
    <w:semiHidden/>
    <w:unhideWhenUsed/>
    <w:qFormat/>
    <w:rPr/>
  </w:style>
  <w:style w:type="character" w:styleId="SidehovedTegn" w:customStyle="1">
    <w:name w:val="Sidehoved Tegn"/>
    <w:basedOn w:val="DefaultParagraphFont"/>
    <w:link w:val="Header"/>
    <w:uiPriority w:val="99"/>
    <w:qFormat/>
    <w:rsid w:val="00193976"/>
    <w:rPr/>
  </w:style>
  <w:style w:type="character" w:styleId="SidefodTegn" w:customStyle="1">
    <w:name w:val="Sidefod Tegn"/>
    <w:basedOn w:val="DefaultParagraphFont"/>
    <w:link w:val="Footer"/>
    <w:uiPriority w:val="99"/>
    <w:qFormat/>
    <w:rsid w:val="00193976"/>
    <w:rPr/>
  </w:style>
  <w:style w:type="character" w:styleId="Hyperlink">
    <w:name w:val="Hyperlink"/>
    <w:basedOn w:val="DefaultParagraphFont"/>
    <w:uiPriority w:val="99"/>
    <w:semiHidden/>
    <w:unhideWhenUsed/>
    <w:rsid w:val="0083627f"/>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SidehovedTegn"/>
    <w:uiPriority w:val="99"/>
    <w:unhideWhenUsed/>
    <w:rsid w:val="00193976"/>
    <w:pPr>
      <w:tabs>
        <w:tab w:val="clear" w:pos="1304"/>
        <w:tab w:val="center" w:pos="4819" w:leader="none"/>
        <w:tab w:val="right" w:pos="9638" w:leader="none"/>
      </w:tabs>
    </w:pPr>
    <w:rPr/>
  </w:style>
  <w:style w:type="paragraph" w:styleId="Footer">
    <w:name w:val="Footer"/>
    <w:basedOn w:val="Normal"/>
    <w:link w:val="SidefodTegn"/>
    <w:uiPriority w:val="99"/>
    <w:unhideWhenUsed/>
    <w:rsid w:val="00193976"/>
    <w:pPr>
      <w:tabs>
        <w:tab w:val="clear" w:pos="1304"/>
        <w:tab w:val="center" w:pos="4819" w:leader="none"/>
        <w:tab w:val="right" w:pos="9638" w:leader="none"/>
      </w:tabs>
    </w:pPr>
    <w:rPr/>
  </w:style>
  <w:style w:type="paragraph" w:styleId="ListParagraph">
    <w:name w:val="List Paragraph"/>
    <w:basedOn w:val="Normal"/>
    <w:uiPriority w:val="34"/>
    <w:qFormat/>
    <w:rsid w:val="00c0396a"/>
    <w:pPr>
      <w:spacing w:before="0" w:after="0"/>
      <w:ind w:left="720"/>
      <w:contextualSpacing/>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Pages>
  <Words>310</Words>
  <Characters>1843</Characters>
  <CharactersWithSpaces>2141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2026-03-18T13:17:00Z</dcterms:created>
  <dc:creator>Iben Borch</dc:creator>
  <dc:description/>
  <dc:language>da-DK</dc:language>
  <cp:lastModifiedBy>Tom Weber</cp:lastModifiedBy>
  <cp:lastPrinted>2025-04-16T07:16:00Z</cp:lastPrinted>
  <dcterms:modified xsi:type="dcterms:W3CDTF">2026-04-15T11:27:43Z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